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rPr>
          <w:b w:val="1"/>
          <w:bCs w:val="1"/>
        </w:rPr>
        <w:t xml:space="preserve">Протокол подведения итогов определения поставщика (подрядчика, исполнителя) № 0671000000725000002</w:t>
      </w:r>
    </w:p>
    <w:p>
      <w:pPr/>
      <w:r>
        <w:rPr/>
        <w:t xml:space="preserve"/>
      </w:r>
    </w:p>
    <w:p>
      <w:pPr>
        <w:jc w:val="right"/>
      </w:pPr>
      <w:r>
        <w:rPr>
          <w:b w:val="0"/>
          <w:bCs w:val="0"/>
        </w:rPr>
        <w:t xml:space="preserve">Дата подведения итогов определения поставщика (подрядчика, исполнителя): 04.06.2025г.</w:t>
      </w:r>
    </w:p>
    <w:p>
      <w:pPr/>
      <w:r>
        <w:rPr/>
        <w:t xml:space="preserve"/>
      </w:r>
    </w:p>
    <w:p>
      <w:pPr>
        <w:keepLines w:val="1"/>
        <w:jc w:val="both"/>
        <w:spacing w:after="96"/>
        <w:numPr>
          <w:ilvl w:val="0"/>
          <w:numId w:val="4"/>
        </w:numPr>
      </w:pPr>
      <w:r>
        <w:rPr/>
        <w:t xml:space="preserve">Способ определения поставщика (подрядчика, исполнителя): Открытый конкурс в электронной форме</w:t>
      </w:r>
    </w:p>
    <w:p>
      <w:pPr>
        <w:keepLines w:val="1"/>
        <w:spacing w:after="96"/>
        <w:numPr>
          <w:ilvl w:val="0"/>
          <w:numId w:val="4"/>
        </w:numPr>
      </w:pPr>
      <w:r>
        <w:rPr/>
        <w:t xml:space="preserve">Номер извещения об осуществлении закупки: 0671000000725000002</w:t>
      </w:r>
    </w:p>
    <w:p>
      <w:pPr>
        <w:keepLines w:val="1"/>
        <w:spacing w:after="96"/>
        <w:numPr>
          <w:ilvl w:val="0"/>
          <w:numId w:val="4"/>
        </w:numPr>
      </w:pPr>
      <w:r>
        <w:rPr/>
        <w:t xml:space="preserve">Определение поставщика (подрядчика, исполнителя) осуществляет:</w:t>
      </w:r>
    </w:p>
    <w:p>
      <w:pPr>
        <w:jc w:val="both"/>
      </w:pPr>
      <w:r>
        <w:rPr/>
        <w:t xml:space="preserve">ПУБЛИЧНОЕ АКЦИОНЕРНОЕ ОБЩЕСТВО "РОСТОВСКИЙ ОПТИКО-МЕХАНИЧЕСКИЙ ЗАВОД"</w:t>
      </w:r>
    </w:p>
    <w:p>
      <w:pPr/>
      <w:r>
        <w:rPr/>
        <w:t xml:space="preserve"/>
      </w:r>
    </w:p>
    <w:p>
      <w:pPr>
        <w:keepLines w:val="1"/>
        <w:jc w:val="both"/>
        <w:spacing w:after="96"/>
        <w:numPr>
          <w:ilvl w:val="0"/>
          <w:numId w:val="4"/>
        </w:numPr>
      </w:pPr>
      <w:r>
        <w:rPr/>
        <w:t xml:space="preserve">Заказчик(и):</w:t>
      </w:r>
    </w:p>
    <w:p>
      <w:pPr>
        <w:jc w:val="both"/>
      </w:pPr>
      <w:r>
        <w:rPr/>
        <w:t xml:space="preserve">ПУБЛИЧНОЕ АКЦИОНЕРНОЕ ОБЩЕСТВО "РОСТОВСКИЙ ОПТИКО-МЕХАНИЧЕСКИЙ ЗАВОД"</w:t>
      </w:r>
    </w:p>
    <w:p>
      <w:pPr/>
      <w:r>
        <w:rPr/>
        <w:t xml:space="preserve"/>
      </w:r>
    </w:p>
    <w:p>
      <w:pPr>
        <w:keepLines w:val="1"/>
        <w:spacing w:after="96"/>
        <w:numPr>
          <w:ilvl w:val="0"/>
          <w:numId w:val="4"/>
        </w:numPr>
      </w:pPr>
      <w:r>
        <w:rPr/>
        <w:t xml:space="preserve">Идентификационный код закупки: Не указан</w:t>
      </w:r>
    </w:p>
    <w:p>
      <w:pPr>
        <w:keepLines w:val="1"/>
        <w:jc w:val="both"/>
        <w:spacing w:after="96"/>
        <w:numPr>
          <w:ilvl w:val="0"/>
          <w:numId w:val="4"/>
        </w:numPr>
      </w:pPr>
      <w:r>
        <w:rPr/>
        <w:t xml:space="preserve">Наименование объекта закупки: Оказание услуг по проведению обязательного аудита бухгалтерской (финансовой) отчетности ПАО «РОМЗ», подготовленной в соответствии с российским законодательством, за 2025 год по проведению финансового аудита</w:t>
      </w:r>
    </w:p>
    <w:p>
      <w:pPr>
        <w:keepLines w:val="1"/>
        <w:spacing w:after="96"/>
        <w:numPr>
          <w:ilvl w:val="0"/>
          <w:numId w:val="4"/>
        </w:numPr>
      </w:pPr>
      <w:r>
        <w:rPr/>
        <w:t xml:space="preserve">Начальная (максимальная) цена контракта: 691 583,33 руб.</w:t>
      </w:r>
    </w:p>
    <w:p>
      <w:pPr>
        <w:keepLines w:val="1"/>
        <w:jc w:val="both"/>
        <w:spacing w:after="96"/>
        <w:numPr>
          <w:ilvl w:val="0"/>
          <w:numId w:val="4"/>
        </w:numPr>
      </w:pPr>
      <w:r>
        <w:rPr/>
        <w:t xml:space="preserve">Извещение об осуществлении закупки размещено «19» мая 2025г. на официальном сайте единой информационной системы в сфере закупок http://zakupki.gov.ru/, а также на сайте электронной площадки АО «ЕЭТП» http://roseltorg.ru.</w:t>
      </w:r>
    </w:p>
    <w:p>
      <w:pPr>
        <w:keepLines w:val="1"/>
        <w:spacing w:after="96"/>
        <w:numPr>
          <w:ilvl w:val="0"/>
          <w:numId w:val="4"/>
        </w:numPr>
      </w:pPr>
      <w:r>
        <w:rPr/>
        <w:t xml:space="preserve">На заседании комиссии по осуществлению закупок присутствовали:</w:t>
      </w:r>
    </w:p>
    <w:tbl>
      <w:tblGrid>
        <w:gridCol w:w="6000" w:type="dxa"/>
        <w:gridCol w:w="3050" w:type="dxa"/>
        <w:gridCol w:w="1500" w:type="dxa"/>
      </w:tblGrid>
      <w:tblPr>
        <w:tblStyle w:val="style63218"/>
      </w:tblPr>
      <w:tr>
        <w:trPr/>
        <w:tc>
          <w:tcPr>
            <w:tcW w:w="6000" w:type="dxa"/>
            <w:vAlign w:val="center"/>
          </w:tcPr>
          <w:p>
            <w:pPr>
              <w:jc w:val="center"/>
            </w:pPr>
            <w:r>
              <w:rPr>
                <w:b w:val="1"/>
                <w:bCs w:val="1"/>
              </w:rPr>
              <w:t xml:space="preserve">Состав комиссии по осуществлению закупок</w:t>
            </w:r>
          </w:p>
        </w:tc>
        <w:tc>
          <w:tcPr>
            <w:tcW w:w="3050" w:type="dxa"/>
            <w:vAlign w:val="center"/>
          </w:tcPr>
          <w:p>
            <w:pPr>
              <w:jc w:val="center"/>
            </w:pPr>
            <w:r>
              <w:rPr>
                <w:b w:val="1"/>
                <w:bCs w:val="1"/>
              </w:rPr>
              <w:t xml:space="preserve">Роль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>
                <w:b w:val="1"/>
                <w:bCs w:val="1"/>
              </w:rPr>
              <w:t xml:space="preserve">Право голоса</w:t>
            </w:r>
          </w:p>
        </w:tc>
      </w:tr>
      <w:tr>
        <w:trPr/>
        <w:tc>
          <w:tcPr>
            <w:tcW w:w="6000" w:type="dxa"/>
            <w:vAlign w:val="center"/>
          </w:tcPr>
          <w:p>
            <w:pPr>
              <w:jc w:val="center"/>
            </w:pPr>
            <w:r>
              <w:rPr/>
              <w:t xml:space="preserve">Желтухин Алексей Александрович</w:t>
            </w:r>
          </w:p>
        </w:tc>
        <w:tc>
          <w:tcPr>
            <w:tcW w:w="3050" w:type="dxa"/>
            <w:vAlign w:val="center"/>
          </w:tcPr>
          <w:p>
            <w:pPr>
              <w:jc w:val="center"/>
            </w:pPr>
            <w:r>
              <w:rPr/>
              <w:t xml:space="preserve">Председатель комиссии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/>
              <w:t xml:space="preserve">Да</w:t>
            </w:r>
          </w:p>
        </w:tc>
      </w:tr>
      <w:tr>
        <w:trPr/>
        <w:tc>
          <w:tcPr>
            <w:tcW w:w="6000" w:type="dxa"/>
            <w:vAlign w:val="center"/>
          </w:tcPr>
          <w:p>
            <w:pPr>
              <w:jc w:val="center"/>
            </w:pPr>
            <w:r>
              <w:rPr/>
              <w:t xml:space="preserve">Янковский  Артем  Викторович</w:t>
            </w:r>
          </w:p>
        </w:tc>
        <w:tc>
          <w:tcPr>
            <w:tcW w:w="3050" w:type="dxa"/>
            <w:vAlign w:val="center"/>
          </w:tcPr>
          <w:p>
            <w:pPr>
              <w:jc w:val="center"/>
            </w:pPr>
            <w:r>
              <w:rPr/>
              <w:t xml:space="preserve">Зам. председателя комиссии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/>
              <w:t xml:space="preserve">Да</w:t>
            </w:r>
          </w:p>
        </w:tc>
      </w:tr>
      <w:tr>
        <w:trPr/>
        <w:tc>
          <w:tcPr>
            <w:tcW w:w="6000" w:type="dxa"/>
            <w:vAlign w:val="center"/>
          </w:tcPr>
          <w:p>
            <w:pPr>
              <w:jc w:val="center"/>
            </w:pPr>
            <w:r>
              <w:rPr/>
              <w:t xml:space="preserve">Спичкина Таисия Дмитриенва</w:t>
            </w:r>
          </w:p>
        </w:tc>
        <w:tc>
          <w:tcPr>
            <w:tcW w:w="3050" w:type="dxa"/>
            <w:vAlign w:val="center"/>
          </w:tcPr>
          <w:p>
            <w:pPr>
              <w:jc w:val="center"/>
            </w:pPr>
            <w:r>
              <w:rPr/>
              <w:t xml:space="preserve">Член комиссии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</w:pPr>
            <w:r>
              <w:rPr/>
              <w:t xml:space="preserve">Да</w:t>
            </w:r>
          </w:p>
        </w:tc>
      </w:tr>
    </w:tbl>
    <w:p/>
    <w:p>
      <w:pPr/>
      <w:r>
        <w:rPr/>
        <w:t xml:space="preserve">Комиссия правомочна осуществлять свои функции, в заседании комиссии участвовало не менее чем пятьдесят процентов общего числа ее членов.</w:t>
      </w:r>
    </w:p>
    <w:p>
      <w:pPr/>
      <w:r>
        <w:rPr/>
        <w:t xml:space="preserve"/>
      </w:r>
    </w:p>
    <w:p>
      <w:pPr>
        <w:keepLines w:val="1"/>
        <w:jc w:val="both"/>
        <w:spacing w:after="96"/>
        <w:numPr>
          <w:ilvl w:val="0"/>
          <w:numId w:val="4"/>
        </w:numPr>
      </w:pPr>
      <w:r>
        <w:rPr/>
        <w:t xml:space="preserve">В связи с тем, что по окончании срока подачи заявок на участие в электронной закупке была подана только одна заявка на участие в ней, на основании пункта 1 части 1 статьи 52 Федерального закона от 05 апреля 2013 г. № 44-ФЗ (далее - Закон № 44-ФЗ), определение поставщика (подрядчика, исполнителя) признается несостоявшимся. В соответствии с п.3 ч.2 ст.52 Закон № 44-ФЗ оценка по критериям оценки заявок на участие в закупке, установленным в извещении об осуществлении закупки, не осуществлялась.</w:t>
      </w:r>
    </w:p>
    <w:p>
      <w:pPr>
        <w:keepLines w:val="1"/>
        <w:jc w:val="both"/>
        <w:spacing w:after="96"/>
        <w:numPr>
          <w:ilvl w:val="0"/>
          <w:numId w:val="4"/>
        </w:numPr>
      </w:pPr>
      <w:r>
        <w:rPr/>
        <w:t xml:space="preserve">Члены комиссии по осуществлению закупок рассмотрели информацию и документы, направленные оператором электронной площадки в соответствии с п.1 ч.2 ст.52 Закон № 44-ФЗ, и приняли решение:</w:t>
      </w:r>
    </w:p>
    <w:tbl>
      <w:tblGrid>
        <w:gridCol w:w="1050" w:type="dxa"/>
        <w:gridCol w:w="1050" w:type="dxa"/>
        <w:gridCol w:w="1900" w:type="dxa"/>
        <w:gridCol w:w="2850" w:type="dxa"/>
        <w:gridCol w:w="1850" w:type="dxa"/>
        <w:gridCol w:w="1850" w:type="dxa"/>
      </w:tblGrid>
      <w:tblPr>
        <w:tblStyle w:val="style16816"/>
      </w:tblPr>
      <w:tr>
        <w:trPr/>
        <w:tc>
          <w:tcPr>
            <w:tcW w:w="1050" w:type="dxa"/>
            <w:vAlign w:val="center"/>
          </w:tcPr>
          <w:p>
            <w:pPr>
              <w:jc w:val="center"/>
            </w:pPr>
            <w:r>
              <w:rPr>
                <w:b w:val="1"/>
                <w:bCs w:val="1"/>
              </w:rPr>
              <w:t xml:space="preserve">Идентификационный номер заявки, присвоенный оператором электронной площадки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</w:pPr>
            <w:r>
              <w:rPr>
                <w:b w:val="1"/>
                <w:bCs w:val="1"/>
              </w:rPr>
              <w:t xml:space="preserve">Порядковый номер заявки, присвоенный оператором электронной площадки</w:t>
            </w:r>
          </w:p>
        </w:tc>
        <w:tc>
          <w:tcPr>
            <w:tcW w:w="1900" w:type="dxa"/>
            <w:vAlign w:val="center"/>
          </w:tcPr>
          <w:p>
            <w:pPr>
              <w:jc w:val="center"/>
            </w:pPr>
            <w:r>
              <w:rPr>
                <w:b w:val="1"/>
                <w:bCs w:val="1"/>
              </w:rPr>
              <w:t xml:space="preserve">Ценовое предложение, руб.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</w:pPr>
            <w:r>
              <w:rPr>
                <w:b w:val="1"/>
                <w:bCs w:val="1"/>
              </w:rPr>
              <w:t xml:space="preserve">Решение о соответствии извещению об осуществлении закупки или решение об отклонении/отстранении (с обоснованием) заявки на участие в закупке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</w:pPr>
            <w:r>
              <w:rPr>
                <w:b w:val="1"/>
                <w:bCs w:val="1"/>
              </w:rPr>
              <w:t xml:space="preserve">Член комиссии по осуществлению закупок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</w:pPr>
            <w:r>
              <w:rPr>
                <w:b w:val="1"/>
                <w:bCs w:val="1"/>
              </w:rPr>
              <w:t xml:space="preserve">Решение члена комиссии по осуществлению закупок</w:t>
            </w:r>
          </w:p>
        </w:tc>
      </w:tr>
      <w:tr>
        <w:trPr/>
        <w:tc>
          <w:tcPr>
            <w:tcW w:w="1050" w:type="dxa"/>
            <w:vAlign w:val="center"/>
            <w:vMerge w:val="restart"/>
          </w:tcPr>
          <w:p>
            <w:pPr>
              <w:jc w:val="center"/>
            </w:pPr>
            <w:r>
              <w:rPr/>
              <w:t xml:space="preserve">1976083</w:t>
            </w:r>
          </w:p>
        </w:tc>
        <w:tc>
          <w:tcPr>
            <w:tcW w:w="1050" w:type="dxa"/>
            <w:vAlign w:val="center"/>
            <w:vMerge w:val="restart"/>
          </w:tcPr>
          <w:p>
            <w:pPr>
              <w:jc w:val="center"/>
            </w:pPr>
            <w:r>
              <w:rPr/>
              <w:t xml:space="preserve">1</w:t>
            </w:r>
          </w:p>
        </w:tc>
        <w:tc>
          <w:tcPr>
            <w:tcW w:w="1900" w:type="dxa"/>
            <w:vAlign w:val="center"/>
            <w:vMerge w:val="restart"/>
          </w:tcPr>
          <w:p>
            <w:pPr>
              <w:jc w:val="center"/>
            </w:pPr>
            <w:r>
              <w:rPr/>
              <w:t xml:space="preserve">504 000,00</w:t>
            </w:r>
          </w:p>
        </w:tc>
        <w:tc>
          <w:tcPr>
            <w:tcW w:w="2850" w:type="dxa"/>
            <w:vAlign w:val="center"/>
            <w:vMerge w:val="restart"/>
          </w:tcPr>
          <w:p>
            <w:pPr>
              <w:jc w:val="center"/>
            </w:pPr>
            <w:r>
              <w:rPr/>
              <w:t xml:space="preserve">Признать заявку соответствующей извещению об осуществлении закупки. 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</w:pPr>
            <w:r>
              <w:rPr/>
              <w:t xml:space="preserve">Желтухин Алексей Александрович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</w:pPr>
            <w:r>
              <w:rPr/>
              <w:t xml:space="preserve">Признать заявку соответствующей извещению об осуществлении закупки. </w:t>
            </w:r>
          </w:p>
        </w:tc>
      </w:tr>
      <w:tr>
        <w:trPr/>
        <w:tc>
          <w:tcPr>
            <w:tcW w:w="1050" w:type="dxa"/>
            <w:vAlign w:val="center"/>
            <w:vMerge w:val="continue"/>
          </w:tcPr>
          <w:p>
            <w:pPr>
              <w:jc w:val="center"/>
            </w:pPr>
            <w:r>
              <w:rPr/>
              <w:t xml:space="preserve">1976083</w:t>
            </w:r>
          </w:p>
        </w:tc>
        <w:tc>
          <w:tcPr>
            <w:tcW w:w="1050" w:type="dxa"/>
            <w:vAlign w:val="center"/>
            <w:vMerge w:val="continue"/>
          </w:tcPr>
          <w:p>
            <w:pPr>
              <w:jc w:val="center"/>
            </w:pPr>
            <w:r>
              <w:rPr/>
              <w:t xml:space="preserve">1</w:t>
            </w:r>
          </w:p>
        </w:tc>
        <w:tc>
          <w:tcPr>
            <w:tcW w:w="1900" w:type="dxa"/>
            <w:vAlign w:val="center"/>
            <w:vMerge w:val="continue"/>
          </w:tcPr>
          <w:p>
            <w:pPr>
              <w:jc w:val="center"/>
            </w:pPr>
            <w:r>
              <w:rPr/>
              <w:t xml:space="preserve">504 000,00</w:t>
            </w:r>
          </w:p>
        </w:tc>
        <w:tc>
          <w:tcPr>
            <w:tcW w:w="2850" w:type="dxa"/>
            <w:vAlign w:val="center"/>
            <w:vMerge w:val="continue"/>
          </w:tcPr>
          <w:p>
            <w:pPr>
              <w:jc w:val="center"/>
            </w:pPr>
            <w:r>
              <w:rPr/>
              <w:t xml:space="preserve">Признать заявку соответствующей извещению об осуществлении закупки. 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</w:pPr>
            <w:r>
              <w:rPr/>
              <w:t xml:space="preserve">Янковский  Артем  Викторович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</w:pPr>
            <w:r>
              <w:rPr/>
              <w:t xml:space="preserve">Признать заявку соответствующей извещению об осуществлении закупки. </w:t>
            </w:r>
          </w:p>
        </w:tc>
      </w:tr>
      <w:tr>
        <w:trPr/>
        <w:tc>
          <w:tcPr>
            <w:tcW w:w="1050" w:type="dxa"/>
            <w:vAlign w:val="center"/>
            <w:vMerge w:val="continue"/>
          </w:tcPr>
          <w:p>
            <w:pPr>
              <w:jc w:val="center"/>
            </w:pPr>
            <w:r>
              <w:rPr/>
              <w:t xml:space="preserve">1976083</w:t>
            </w:r>
          </w:p>
        </w:tc>
        <w:tc>
          <w:tcPr>
            <w:tcW w:w="1050" w:type="dxa"/>
            <w:vAlign w:val="center"/>
            <w:vMerge w:val="continue"/>
          </w:tcPr>
          <w:p>
            <w:pPr>
              <w:jc w:val="center"/>
            </w:pPr>
            <w:r>
              <w:rPr/>
              <w:t xml:space="preserve">1</w:t>
            </w:r>
          </w:p>
        </w:tc>
        <w:tc>
          <w:tcPr>
            <w:tcW w:w="1900" w:type="dxa"/>
            <w:vAlign w:val="center"/>
            <w:vMerge w:val="continue"/>
          </w:tcPr>
          <w:p>
            <w:pPr>
              <w:jc w:val="center"/>
            </w:pPr>
            <w:r>
              <w:rPr/>
              <w:t xml:space="preserve">504 000,00</w:t>
            </w:r>
          </w:p>
        </w:tc>
        <w:tc>
          <w:tcPr>
            <w:tcW w:w="2850" w:type="dxa"/>
            <w:vAlign w:val="center"/>
            <w:vMerge w:val="continue"/>
          </w:tcPr>
          <w:p>
            <w:pPr>
              <w:jc w:val="center"/>
            </w:pPr>
            <w:r>
              <w:rPr/>
              <w:t xml:space="preserve">Признать заявку соответствующей извещению об осуществлении закупки. 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</w:pPr>
            <w:r>
              <w:rPr/>
              <w:t xml:space="preserve">Спичкина Таисия Дмитриенва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</w:pPr>
            <w:r>
              <w:rPr/>
              <w:t xml:space="preserve">Признать заявку соответствующей извещению об осуществлении закупки. </w:t>
            </w:r>
          </w:p>
        </w:tc>
      </w:tr>
    </w:tbl>
    <w:p>
      <w:pPr/>
      <w:r>
        <w:rPr/>
        <w:t xml:space="preserve"/>
      </w:r>
    </w:p>
    <w:p>
      <w:pPr>
        <w:keepLines w:val="1"/>
        <w:jc w:val="both"/>
        <w:spacing w:after="96"/>
        <w:numPr>
          <w:ilvl w:val="0"/>
          <w:numId w:val="4"/>
        </w:numPr>
      </w:pPr>
      <w:r>
        <w:rPr/>
        <w:t xml:space="preserve">По результатам подведения итогов определения поставщика (подрядчика, исполнителя) контракт заключается с участником закупки с идентификационным номером № 1976083 по цене контракта 504 000,00 руб. (Пятьсот четыре тысячи рублей 00 копеек) в соответствии с п. 25 ч. 1 ст. 93 Федерального закона №44-ФЗ в порядке, установленном настоящим Федеральным Законом.</w:t>
      </w:r>
    </w:p>
    <w:p>
      <w:pPr>
        <w:keepLines w:val="1"/>
        <w:jc w:val="both"/>
        <w:spacing w:after="96"/>
        <w:numPr>
          <w:ilvl w:val="0"/>
          <w:numId w:val="4"/>
        </w:numPr>
      </w:pPr>
      <w:r>
        <w:rPr/>
        <w:t xml:space="preserve">Настоящий протокол сформирован с использованием электронной площадки АО «ЕЭТП», подписан усиленными электронными подписями всех присутствующих членов комиссии, подписан усиленной электронной подписью лица, имеющего право действовать от имени заказчика и направлен оператору электронной площадки АО «ЕЭТП» по адресу в сети «Интернет»: http://roseltorg.ru.</w:t>
      </w:r>
    </w:p>
    <w:sectPr>
      <w:pgSz w:orient="portrait" w:w="11905.511811023622" w:h="16837.79527559055"/>
      <w:pgMar w:top="566.9291338582676" w:right="566.9291338582676" w:bottom="566.9291338582676" w:left="850.3937007874015" w:header="720" w:footer="720" w:gutter="0"/>
      <w:cols w:num="1" w:space="720"/>
    </w:sectPr>
    <w:p>
      <w:r>
        <w:br w:type="page"/>
        <w:lastRenderedPageBreak/>
      </w:r>
    </w:p>
    <w:p>
      <w:pPr/>
      <w:br/>
      <w:br/>
      <w:r>
        <w:rPr/>
        <w:t xml:space="preserve">Документ подписан электронной подписью</w:t>
      </w:r>
    </w:p>
    <w:p>
      <w:pPr/>
      <w:br/>
      <w:r>
        <w:rPr/>
        <w:t xml:space="preserve"/>
      </w:r>
    </w:p>
    <w:tbl>
      <w:tblGrid>
        <w:gridCol w:w="2000" w:type="dxa"/>
        <w:gridCol w:w="3000" w:type="dxa"/>
        <w:gridCol w:w="3000" w:type="dxa"/>
        <w:gridCol w:w="2000" w:type="dxa"/>
      </w:tblGrid>
      <w:tblPr>
        <w:tblStyle w:val="style79046"/>
      </w:tblPr>
      <w:tr>
        <w:trPr>
          <w:cantSplit w:val="1"/>
        </w:trPr>
        <w:tc>
          <w:tcPr>
            <w:tcW w:w="2000" w:type="dxa"/>
          </w:tcPr>
          <w:p>
            <w:pPr>
              <w:jc w:val="left"/>
            </w:pPr>
            <w:r>
              <w:rPr>
                <w:b w:val="1"/>
                <w:bCs w:val="1"/>
              </w:rPr>
              <w:t xml:space="preserve">Роль</w:t>
            </w:r>
          </w:p>
        </w:tc>
        <w:tc>
          <w:tcPr>
            <w:tcW w:w="3000" w:type="dxa"/>
          </w:tcPr>
          <w:p>
            <w:pPr>
              <w:jc w:val="left"/>
            </w:pPr>
            <w:r>
              <w:rPr>
                <w:b w:val="1"/>
                <w:bCs w:val="1"/>
              </w:rPr>
              <w:t xml:space="preserve">Владелец сертификата</w:t>
            </w:r>
          </w:p>
        </w:tc>
        <w:tc>
          <w:tcPr>
            <w:tcW w:w="3000" w:type="dxa"/>
          </w:tcPr>
          <w:p>
            <w:pPr>
              <w:jc w:val="left"/>
            </w:pPr>
            <w:r>
              <w:rPr>
                <w:b w:val="1"/>
                <w:bCs w:val="1"/>
              </w:rPr>
              <w:t xml:space="preserve">Сертификат</w:t>
            </w:r>
          </w:p>
        </w:tc>
        <w:tc>
          <w:tcPr>
            <w:tcW w:w="2000" w:type="dxa"/>
          </w:tcPr>
          <w:p>
            <w:pPr>
              <w:jc w:val="left"/>
            </w:pPr>
            <w:r>
              <w:rPr>
                <w:b w:val="1"/>
                <w:bCs w:val="1"/>
              </w:rPr>
              <w:t xml:space="preserve">Дата и время подписания</w:t>
            </w:r>
          </w:p>
        </w:tc>
      </w:tr>
      <w:tr>
        <w:trPr>
          <w:cantSplit w:val="1"/>
        </w:trPr>
        <w:tc>
          <w:tcPr>
            <w:tcW w:w="2000" w:type="dxa"/>
          </w:tcPr>
          <w:p>
            <w:pPr>
              <w:jc w:val="left"/>
            </w:pPr>
            <w:r>
              <w:rPr/>
              <w:t xml:space="preserve">Член комиссии</w:t>
            </w:r>
          </w:p>
        </w:tc>
        <w:tc>
          <w:tcPr>
            <w:tcW w:w="3000" w:type="dxa"/>
          </w:tcPr>
          <w:p>
            <w:pPr>
              <w:jc w:val="left"/>
            </w:pPr>
            <w:r>
              <w:rPr/>
              <w:t xml:space="preserve">Спичкина Таисия Дмитриевна, ФЕДЕРАЛЬНОЕ АГЕНТСТВО ПО УПРАВЛЕНИЮ ГОСУДАРСТВЕННЫМ ИМУЩЕСТВОМ</w:t>
            </w:r>
          </w:p>
        </w:tc>
        <w:tc>
          <w:tcPr>
            <w:tcW w:w="3000" w:type="dxa"/>
          </w:tcPr>
          <w:p>
            <w:pPr>
              <w:jc w:val="left"/>
            </w:pPr>
            <w:r>
              <w:rPr/>
              <w:t xml:space="preserve">CFFAE0C4BEA326DC0401D1235CD40985, Действителен с 16.10.2024 по 09.01.2026</w:t>
            </w:r>
          </w:p>
        </w:tc>
        <w:tc>
          <w:tcPr>
            <w:tcW w:w="2000" w:type="dxa"/>
          </w:tcPr>
          <w:p>
            <w:pPr>
              <w:jc w:val="left"/>
            </w:pPr>
            <w:r>
              <w:rPr/>
              <w:t xml:space="preserve">04.06.2025 15:53:22</w:t>
            </w:r>
          </w:p>
        </w:tc>
      </w:tr>
      <w:tr>
        <w:trPr>
          <w:cantSplit w:val="1"/>
        </w:trPr>
        <w:tc>
          <w:tcPr>
            <w:tcW w:w="2000" w:type="dxa"/>
          </w:tcPr>
          <w:p>
            <w:pPr>
              <w:jc w:val="left"/>
            </w:pPr>
            <w:r>
              <w:rPr/>
              <w:t xml:space="preserve">Председатель комиссии</w:t>
            </w:r>
          </w:p>
        </w:tc>
        <w:tc>
          <w:tcPr>
            <w:tcW w:w="3000" w:type="dxa"/>
          </w:tcPr>
          <w:p>
            <w:pPr>
              <w:jc w:val="left"/>
            </w:pPr>
            <w:r>
              <w:rPr/>
              <w:t xml:space="preserve">Желтухин Алексей Александрович, ПУБЛИЧНОЕ АКЦИОНЕРНОЕ ОБЩЕСТВО "РОСТОВСКИЙ ОПТИКО-МЕХАНИЧЕСКИЙ ЗАВОД"</w:t>
            </w:r>
          </w:p>
        </w:tc>
        <w:tc>
          <w:tcPr>
            <w:tcW w:w="3000" w:type="dxa"/>
          </w:tcPr>
          <w:p>
            <w:pPr>
              <w:jc w:val="left"/>
            </w:pPr>
            <w:r>
              <w:rPr/>
              <w:t xml:space="preserve">8302E3562D40292D596DC9E10A50F00A, Действителен с 17.04.2024 по 11.07.2025</w:t>
            </w:r>
          </w:p>
        </w:tc>
        <w:tc>
          <w:tcPr>
            <w:tcW w:w="2000" w:type="dxa"/>
          </w:tcPr>
          <w:p>
            <w:pPr>
              <w:jc w:val="left"/>
            </w:pPr>
            <w:r>
              <w:rPr/>
              <w:t xml:space="preserve">04.06.2025 15:53:41</w:t>
            </w:r>
          </w:p>
        </w:tc>
      </w:tr>
      <w:tr>
        <w:trPr>
          <w:cantSplit w:val="1"/>
        </w:trPr>
        <w:tc>
          <w:tcPr>
            <w:tcW w:w="2000" w:type="dxa"/>
          </w:tcPr>
          <w:p>
            <w:pPr>
              <w:jc w:val="left"/>
            </w:pPr>
            <w:r>
              <w:rPr/>
              <w:t xml:space="preserve">Зам. председателя комиссии</w:t>
            </w:r>
          </w:p>
        </w:tc>
        <w:tc>
          <w:tcPr>
            <w:tcW w:w="3000" w:type="dxa"/>
          </w:tcPr>
          <w:p>
            <w:pPr>
              <w:jc w:val="left"/>
            </w:pPr>
            <w:r>
              <w:rPr/>
              <w:t xml:space="preserve">Янковский Артем Викторович, ПУБЛИЧНОЕ АКЦИОНЕРНОЕ ОБЩЕСТВО "РОСТОВСКИЙ ОПТИКО-МЕХАНИЧЕСКИЙ ЗАВОД"</w:t>
            </w:r>
          </w:p>
        </w:tc>
        <w:tc>
          <w:tcPr>
            <w:tcW w:w="3000" w:type="dxa"/>
          </w:tcPr>
          <w:p>
            <w:pPr>
              <w:jc w:val="left"/>
            </w:pPr>
            <w:r>
              <w:rPr/>
              <w:t xml:space="preserve">C729E7CB0D3183381168FABAA30238FA, Действителен с 31.05.2024 по 24.08.2025</w:t>
            </w:r>
          </w:p>
        </w:tc>
        <w:tc>
          <w:tcPr>
            <w:tcW w:w="2000" w:type="dxa"/>
          </w:tcPr>
          <w:p>
            <w:pPr>
              <w:jc w:val="left"/>
            </w:pPr>
            <w:r>
              <w:rPr/>
              <w:t xml:space="preserve">04.06.2025 16:00:00</w:t>
            </w:r>
          </w:p>
        </w:tc>
      </w:tr>
    </w:tbl>
    <w:sectPr>
      <w:pgSz w:orient="portrait" w:w="11905.511811023622" w:h="16837.79527559055"/>
      <w:pgMar w:top="1440" w:right="566.9291338582676" w:bottom="1440" w:left="1417.3228346456694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nsid w:val="81898583"/>
    <w:multiLevelType w:val="multilevel"/>
    <w:lvl w:ilvl="0">
      <w:start w:val="1"/>
      <w:numFmt w:val="decimal"/>
      <w:suff w:val="tab"/>
      <w:lvlText w:val="%1."/>
      <w:pPr>
        <w:tabs>
          <w:tab w:val="num" w:pos="360"/>
        </w:tabs>
        <w:ind w:left="0" w:hanging="360"/>
      </w:pPr>
      <w:rPr>
        <w:rFonts/>
      </w:rPr>
    </w:lvl>
    <w:lvl w:ilvl="1">
      <w:start w:val="1"/>
      <w:numFmt w:val="decimal"/>
      <w:suff w:val="tab"/>
      <w:lvlText w:val="%1.%2."/>
      <w:pPr>
        <w:tabs>
          <w:tab w:val="num" w:pos="360"/>
        </w:tabs>
        <w:ind w:left="360" w:hanging="360"/>
      </w:pPr>
      <w:rPr>
        <w:rFonts/>
      </w:rPr>
    </w:lvl>
    <w:lvl w:ilvl="2">
      <w:start w:val="1"/>
      <w:numFmt w:val="decimal"/>
      <w:suff w:val="tab"/>
      <w:lvlText w:val="%1.%2.%3."/>
      <w:pPr>
        <w:tabs>
          <w:tab w:val="num" w:pos="432"/>
        </w:tabs>
        <w:ind w:left="792" w:hanging="792"/>
      </w:pPr>
      <w:rPr>
        <w:rFonts/>
      </w:rPr>
    </w:lvl>
  </w:abstractNum>
  <w:num w:numId="4">
    <w:abstractNumId w:val="4"/>
  </w:num>
</w:numbering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ru-ru" w:eastAsia="x-none" w:bidi="x-none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hAnsi="Liberation Serif" w:eastAsia="Liberation Serif" w:cs="Liberation Serif"/>
        <w:sz w:val="18"/>
        <w:szCs w:val="18"/>
        <w:lang w:val="ru-ru"/>
      </w:rPr>
    </w:rPrDefault>
  </w:docDefaults>
  <w:style w:type="paragraph" w:default="1" w:styleId="Normal">
    <w:name w:val="Normal"/>
    <w:pPr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myOwnStyle"/>
    <w:rPr>
      <w:b w:val="1"/>
      <w:bCs w:val="1"/>
    </w:rPr>
  </w:style>
  <w:style w:type="paragraph" w:customStyle="1" w:styleId="P-Style">
    <w:name w:val="P-Style"/>
    <w:basedOn w:val="Normal"/>
    <w:pPr>
      <w:keepLines w:val="1"/>
      <w:jc w:val="both"/>
      <w:spacing w:after="96"/>
    </w:pPr>
  </w:style>
  <w:style w:type="table" w:customStyle="1" w:styleId="style63218">
    <w:name w:val="style63218"/>
    <w:uiPriority w:val="99"/>
    <w:tblPr>
      <w:tblW w:w="0" w:type="auto"/>
      <w:tblLayout w:type="autofit"/>
      <w:bidiVisual w:val="0"/>
      <w:tblCellMar>
        <w:top w:w="25" w:type="dxa"/>
        <w:left w:w="25" w:type="dxa"/>
        <w:right w:w="25" w:type="dxa"/>
        <w:bottom w:w="25" w:type="dxa"/>
      </w:tblCellMar>
      <w:tblBorders>
        <w:top w:val="single" w:sz="1" w:color="000000"/>
        <w:left w:val="single" w:sz="1" w:color="000000"/>
        <w:right w:val="single" w:sz="1" w:color="000000"/>
        <w:bottom w:val="single" w:sz="1" w:color="000000"/>
        <w:insideH w:val="single" w:sz="1" w:color="000000"/>
        <w:insideV w:val="single" w:sz="1" w:color="000000"/>
      </w:tblBorders>
    </w:tblPr>
  </w:style>
  <w:style w:type="table" w:customStyle="1" w:styleId="style16816">
    <w:name w:val="style16816"/>
    <w:uiPriority w:val="99"/>
    <w:tblPr>
      <w:tblW w:w="0" w:type="auto"/>
      <w:tblLayout w:type="autofit"/>
      <w:bidiVisual w:val="0"/>
      <w:tblCellMar>
        <w:top w:w="25" w:type="dxa"/>
        <w:left w:w="25" w:type="dxa"/>
        <w:right w:w="25" w:type="dxa"/>
        <w:bottom w:w="25" w:type="dxa"/>
      </w:tblCellMar>
      <w:tblBorders>
        <w:top w:val="single" w:sz="1" w:color="000000"/>
        <w:left w:val="single" w:sz="1" w:color="000000"/>
        <w:right w:val="single" w:sz="1" w:color="000000"/>
        <w:bottom w:val="single" w:sz="1" w:color="000000"/>
        <w:insideH w:val="single" w:sz="1" w:color="000000"/>
        <w:insideV w:val="single" w:sz="1" w:color="000000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2025-06-04T15:48:07+03:00</dcterms:created>
  <dcterms:modified xsi:type="dcterms:W3CDTF">2025-06-04T15:48:07+03:00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